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E95D5" w14:textId="693C99B3" w:rsidR="00256F8C" w:rsidRDefault="00256F8C" w:rsidP="00256F8C">
      <w:pPr>
        <w:keepNext/>
        <w:keepLines/>
        <w:jc w:val="right"/>
      </w:pPr>
      <w:r>
        <w:t xml:space="preserve">Приложение № </w:t>
      </w:r>
      <w:r w:rsidR="00083B3F">
        <w:t>17</w:t>
      </w:r>
      <w:r>
        <w:br/>
        <w:t>к Учетной политике</w:t>
      </w:r>
      <w:r>
        <w:br/>
        <w:t>для целей бюджетного учета</w:t>
      </w:r>
    </w:p>
    <w:p w14:paraId="6D66EAC9" w14:textId="77777777" w:rsidR="00256F8C" w:rsidRDefault="00256F8C" w:rsidP="00256F8C">
      <w:pPr>
        <w:pStyle w:val="a3"/>
      </w:pPr>
      <w:bookmarkStart w:id="0" w:name="_docStart_5"/>
      <w:bookmarkStart w:id="1" w:name="_title_5"/>
      <w:bookmarkStart w:id="2" w:name="_ref_561051"/>
      <w:bookmarkEnd w:id="0"/>
      <w:r>
        <w:t>Правила и график документооборота, а также технология обработки учетной информации</w:t>
      </w:r>
      <w:bookmarkEnd w:id="1"/>
      <w:bookmarkEnd w:id="2"/>
    </w:p>
    <w:tbl>
      <w:tblPr>
        <w:tblW w:w="9419" w:type="pct"/>
        <w:tblInd w:w="-1877" w:type="dxa"/>
        <w:tblLook w:val="04A0" w:firstRow="1" w:lastRow="0" w:firstColumn="1" w:lastColumn="0" w:noHBand="0" w:noVBand="1"/>
      </w:tblPr>
      <w:tblGrid>
        <w:gridCol w:w="1962"/>
        <w:gridCol w:w="4131"/>
        <w:gridCol w:w="1357"/>
        <w:gridCol w:w="2414"/>
        <w:gridCol w:w="2228"/>
        <w:gridCol w:w="3197"/>
        <w:gridCol w:w="67"/>
        <w:gridCol w:w="166"/>
        <w:gridCol w:w="233"/>
        <w:gridCol w:w="233"/>
        <w:gridCol w:w="236"/>
        <w:gridCol w:w="233"/>
        <w:gridCol w:w="236"/>
        <w:gridCol w:w="236"/>
        <w:gridCol w:w="236"/>
        <w:gridCol w:w="236"/>
        <w:gridCol w:w="53"/>
        <w:gridCol w:w="169"/>
      </w:tblGrid>
      <w:tr w:rsidR="00256F8C" w14:paraId="1137FAFB" w14:textId="77777777" w:rsidTr="00EA7B49">
        <w:tc>
          <w:tcPr>
            <w:tcW w:w="4338" w:type="pct"/>
            <w:gridSpan w:val="6"/>
            <w:vMerge w:val="restart"/>
          </w:tcPr>
          <w:p w14:paraId="204A1C21" w14:textId="77777777" w:rsidR="00256F8C" w:rsidRDefault="00256F8C" w:rsidP="00EA7B49">
            <w:pPr>
              <w:spacing w:line="200" w:lineRule="atLeast"/>
              <w:ind w:firstLine="567"/>
              <w:jc w:val="left"/>
            </w:pPr>
            <w:r>
              <w:t xml:space="preserve">          </w:t>
            </w:r>
            <w:r w:rsidRPr="0033419D">
              <w:t>Все первичные документы должны иметь следующие реквизиты: наименование документа, дату составления,</w:t>
            </w:r>
          </w:p>
          <w:p w14:paraId="5625E23F" w14:textId="77777777" w:rsidR="00256F8C" w:rsidRDefault="00256F8C" w:rsidP="00EA7B49">
            <w:pPr>
              <w:spacing w:line="200" w:lineRule="atLeast"/>
              <w:ind w:firstLine="567"/>
              <w:jc w:val="left"/>
            </w:pPr>
            <w:r w:rsidRPr="0033419D">
              <w:t xml:space="preserve"> содержание операции, измерители, в количественном и стоимостном выражении, наименование должности лиц,</w:t>
            </w:r>
          </w:p>
          <w:p w14:paraId="066576F0" w14:textId="77777777" w:rsidR="00256F8C" w:rsidRPr="0033419D" w:rsidRDefault="00256F8C" w:rsidP="00EA7B49">
            <w:pPr>
              <w:spacing w:line="200" w:lineRule="atLeast"/>
              <w:ind w:firstLine="567"/>
              <w:jc w:val="left"/>
            </w:pPr>
            <w:r w:rsidRPr="0033419D">
              <w:t xml:space="preserve"> личные подписи и их расшифровки, номер документа, название.</w:t>
            </w:r>
          </w:p>
          <w:p w14:paraId="7D9085D0" w14:textId="77777777" w:rsidR="00256F8C" w:rsidRDefault="00256F8C" w:rsidP="00EA7B49">
            <w:pPr>
              <w:pStyle w:val="Normalunindented"/>
              <w:keepNext/>
              <w:jc w:val="left"/>
            </w:pPr>
          </w:p>
        </w:tc>
        <w:tc>
          <w:tcPr>
            <w:tcW w:w="265" w:type="pct"/>
            <w:gridSpan w:val="5"/>
          </w:tcPr>
          <w:p w14:paraId="2C6A7858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133" w:type="pct"/>
            <w:gridSpan w:val="2"/>
          </w:tcPr>
          <w:p w14:paraId="0B97A482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134" w:type="pct"/>
            <w:gridSpan w:val="2"/>
          </w:tcPr>
          <w:p w14:paraId="538ECF37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  <w:vMerge w:val="restart"/>
          </w:tcPr>
          <w:p w14:paraId="28B04F77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3" w:type="pct"/>
            <w:gridSpan w:val="2"/>
            <w:vMerge w:val="restart"/>
          </w:tcPr>
          <w:p w14:paraId="0EE563F2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</w:tr>
      <w:tr w:rsidR="00256F8C" w14:paraId="55D7870C" w14:textId="77777777" w:rsidTr="00EA7B49">
        <w:tc>
          <w:tcPr>
            <w:tcW w:w="4338" w:type="pct"/>
            <w:gridSpan w:val="6"/>
            <w:vMerge/>
          </w:tcPr>
          <w:p w14:paraId="2BA42E46" w14:textId="77777777" w:rsidR="00256F8C" w:rsidRDefault="00256F8C" w:rsidP="00EA7B49"/>
        </w:tc>
        <w:tc>
          <w:tcPr>
            <w:tcW w:w="66" w:type="pct"/>
            <w:gridSpan w:val="2"/>
          </w:tcPr>
          <w:p w14:paraId="54900B05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6" w:type="pct"/>
          </w:tcPr>
          <w:p w14:paraId="3503A59E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6" w:type="pct"/>
          </w:tcPr>
          <w:p w14:paraId="67F58054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5048FFDD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6" w:type="pct"/>
          </w:tcPr>
          <w:p w14:paraId="1B8CA9F6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7E6112B0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6D16DF59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21834B73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  <w:vMerge/>
          </w:tcPr>
          <w:p w14:paraId="44F246D4" w14:textId="77777777" w:rsidR="00256F8C" w:rsidRDefault="00256F8C" w:rsidP="00EA7B49"/>
        </w:tc>
        <w:tc>
          <w:tcPr>
            <w:tcW w:w="63" w:type="pct"/>
            <w:gridSpan w:val="2"/>
            <w:vMerge/>
          </w:tcPr>
          <w:p w14:paraId="1D941ADE" w14:textId="77777777" w:rsidR="00256F8C" w:rsidRDefault="00256F8C" w:rsidP="00EA7B49"/>
        </w:tc>
      </w:tr>
      <w:tr w:rsidR="00256F8C" w14:paraId="777B5C15" w14:textId="77777777" w:rsidTr="00EA7B49">
        <w:tc>
          <w:tcPr>
            <w:tcW w:w="4338" w:type="pct"/>
            <w:gridSpan w:val="6"/>
          </w:tcPr>
          <w:tbl>
            <w:tblPr>
              <w:tblW w:w="11157" w:type="dxa"/>
              <w:tblInd w:w="1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74"/>
              <w:gridCol w:w="1469"/>
              <w:gridCol w:w="1679"/>
              <w:gridCol w:w="1679"/>
              <w:gridCol w:w="3064"/>
              <w:gridCol w:w="1092"/>
            </w:tblGrid>
            <w:tr w:rsidR="00256F8C" w:rsidRPr="00F47E2E" w14:paraId="3BFE7E6D" w14:textId="77777777" w:rsidTr="008E4441">
              <w:tc>
                <w:tcPr>
                  <w:tcW w:w="2174" w:type="dxa"/>
                  <w:shd w:val="clear" w:color="auto" w:fill="auto"/>
                  <w:vAlign w:val="center"/>
                </w:tcPr>
                <w:p w14:paraId="4864AD60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Вид документа</w:t>
                  </w:r>
                </w:p>
              </w:tc>
              <w:tc>
                <w:tcPr>
                  <w:tcW w:w="1469" w:type="dxa"/>
                  <w:shd w:val="clear" w:color="auto" w:fill="auto"/>
                  <w:vAlign w:val="center"/>
                </w:tcPr>
                <w:p w14:paraId="595C29CB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Код формы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FBC3C7E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Кто представляет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33698F42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Кому представляет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99683" w14:textId="77777777" w:rsidR="00256F8C" w:rsidRPr="00F47E2E" w:rsidRDefault="00256F8C" w:rsidP="00EA7B49">
                  <w:pPr>
                    <w:pStyle w:val="a7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Срок сдачи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0020FE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E4441" w:rsidRPr="00F47E2E" w14:paraId="486314DB" w14:textId="77777777" w:rsidTr="008E4441">
              <w:tc>
                <w:tcPr>
                  <w:tcW w:w="2174" w:type="dxa"/>
                  <w:shd w:val="clear" w:color="auto" w:fill="auto"/>
                </w:tcPr>
                <w:p w14:paraId="2D44E062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Накопительная ведомость по расходу продуктов питания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660DFB3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0D72B68A" w14:textId="5D09CA18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4D17DD0" w14:textId="0908A2FD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3D45872" w14:textId="7A54F06A" w:rsidR="008E4441" w:rsidRPr="00F47E2E" w:rsidRDefault="008E4441" w:rsidP="008E4441">
                  <w:pPr>
                    <w:pStyle w:val="a8"/>
                    <w:ind w:right="17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451FCF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07D7747E" w14:textId="77777777" w:rsidTr="008E4441">
              <w:tc>
                <w:tcPr>
                  <w:tcW w:w="2174" w:type="dxa"/>
                  <w:shd w:val="clear" w:color="auto" w:fill="auto"/>
                </w:tcPr>
                <w:p w14:paraId="1C23F013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Меню-требование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9BDCC90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715D8AF9" w14:textId="0D3E4275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CA96A6B" w14:textId="61BB1E7F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A645D5D" w14:textId="76D00568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  <w:bookmarkStart w:id="3" w:name="_GoBack"/>
                  <w:bookmarkEnd w:id="3"/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75EB876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3D7699B7" w14:textId="77777777" w:rsidTr="008E4441">
              <w:tc>
                <w:tcPr>
                  <w:tcW w:w="2174" w:type="dxa"/>
                  <w:shd w:val="clear" w:color="auto" w:fill="auto"/>
                </w:tcPr>
                <w:p w14:paraId="6F9CAF5B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Акт о списании материальных запасов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9002EFE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 w:cs="Times New Roman"/>
                    </w:rPr>
                    <w:t>0504230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717A6B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1633ED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6E130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4DC9616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787A44AC" w14:textId="77777777" w:rsidTr="008E4441">
              <w:tc>
                <w:tcPr>
                  <w:tcW w:w="2174" w:type="dxa"/>
                  <w:shd w:val="clear" w:color="auto" w:fill="auto"/>
                </w:tcPr>
                <w:p w14:paraId="09F3E583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Ведомость выдачи материальных ценностей на нужды учреждения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CB898DF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0504210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0CD8B6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8692FD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65DA4B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184388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799AA96E" w14:textId="77777777" w:rsidTr="008E4441">
              <w:tc>
                <w:tcPr>
                  <w:tcW w:w="2174" w:type="dxa"/>
                  <w:shd w:val="clear" w:color="auto" w:fill="auto"/>
                </w:tcPr>
                <w:p w14:paraId="05A97765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Акт о приеме-передаче объектов нефинансовых активов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1560960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 w:cs="Times New Roman"/>
                    </w:rPr>
                    <w:t>0504101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CB27DBE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68EC202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DB5946C" w14:textId="5CEC15B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A0C014D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62D3F445" w14:textId="77777777" w:rsidTr="008E4441">
              <w:tc>
                <w:tcPr>
                  <w:tcW w:w="2174" w:type="dxa"/>
                  <w:shd w:val="clear" w:color="auto" w:fill="auto"/>
                </w:tcPr>
                <w:p w14:paraId="3D62E596" w14:textId="77777777" w:rsidR="008E4441" w:rsidRPr="00F47E2E" w:rsidRDefault="008E4441" w:rsidP="008E4441">
                  <w:pPr>
                    <w:rPr>
                      <w:b/>
                      <w:sz w:val="20"/>
                      <w:szCs w:val="20"/>
                    </w:rPr>
                  </w:pPr>
                  <w:r w:rsidRPr="00F47E2E">
                    <w:rPr>
                      <w:b/>
                      <w:sz w:val="20"/>
                      <w:szCs w:val="20"/>
                    </w:rPr>
                    <w:t xml:space="preserve">Акт о списании объектов нефинансовых активов (кроме транспортных средств) 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60E7274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 w:cs="Times New Roman"/>
                    </w:rPr>
                    <w:t>0504104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349802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 постоянно действующей комиссии по поступлению</w:t>
                  </w:r>
                  <w:r w:rsidRPr="00F47E2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и выбытию активов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после согласования с ТУ Росимущества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5C5C129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904B2A" w14:textId="5E948B1D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0A05B1B" w14:textId="77777777" w:rsidR="008E4441" w:rsidRPr="00F47E2E" w:rsidRDefault="008E4441" w:rsidP="008E4441">
                  <w:pPr>
                    <w:ind w:firstLine="53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4441" w:rsidRPr="00F47E2E" w14:paraId="4F86F847" w14:textId="77777777" w:rsidTr="008E4441">
              <w:tc>
                <w:tcPr>
                  <w:tcW w:w="2174" w:type="dxa"/>
                  <w:shd w:val="clear" w:color="auto" w:fill="auto"/>
                </w:tcPr>
                <w:p w14:paraId="784EF69F" w14:textId="77777777" w:rsidR="008E4441" w:rsidRPr="00CA4D1C" w:rsidRDefault="008E4441" w:rsidP="008E4441">
                  <w:pPr>
                    <w:autoSpaceDN w:val="0"/>
                    <w:adjustRightInd w:val="0"/>
                    <w:ind w:firstLine="9"/>
                    <w:rPr>
                      <w:rStyle w:val="a6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b/>
                      <w:sz w:val="20"/>
                      <w:szCs w:val="20"/>
                    </w:rPr>
                    <w:t xml:space="preserve">Накладная на внутреннее перемещение объектов нефинансовых активов </w:t>
                  </w:r>
                  <w:r w:rsidRPr="00F47E2E">
                    <w:rPr>
                      <w:sz w:val="20"/>
                      <w:szCs w:val="20"/>
                    </w:rPr>
                    <w:t>(составляется в трех экземплярах, подписывается ответственными лицами получающей и передающей сторон. Один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7E2E">
                    <w:rPr>
                      <w:sz w:val="20"/>
                      <w:szCs w:val="20"/>
                    </w:rPr>
                    <w:t>экз</w:t>
                  </w:r>
                  <w:r>
                    <w:rPr>
                      <w:sz w:val="20"/>
                      <w:szCs w:val="20"/>
                    </w:rPr>
                    <w:t xml:space="preserve">емпляр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передается </w:t>
                  </w:r>
                  <w:r w:rsidRPr="00F47E2E">
                    <w:rPr>
                      <w:sz w:val="20"/>
                      <w:szCs w:val="20"/>
                    </w:rPr>
                    <w:t>в бухгалтерию)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08581FC3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lastRenderedPageBreak/>
                    <w:t>0504102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37C721D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лицо, передающее МЦ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D699F60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8140C28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момент совершения операции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4230BC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5DBA359E" w14:textId="77777777" w:rsidTr="008E4441">
              <w:tc>
                <w:tcPr>
                  <w:tcW w:w="2174" w:type="dxa"/>
                  <w:shd w:val="clear" w:color="auto" w:fill="auto"/>
                </w:tcPr>
                <w:p w14:paraId="07EF9DBA" w14:textId="77777777" w:rsidR="008E4441" w:rsidRPr="00F47E2E" w:rsidRDefault="008E4441" w:rsidP="008E4441">
                  <w:pPr>
                    <w:pStyle w:val="a9"/>
                    <w:widowControl/>
                    <w:ind w:left="0" w:firstLine="9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Требование-накладная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(составляет МОЛ-отправитель, передающий материальные ценности другому МОЛ, в 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двух экземплярах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один из которых служит основанием для передачи ценностей, а второй – для их принятия. Подписывают материально ответственные лица и один экземпляр сдают в бухгалтерию для учета движения материалов)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0E82AB8F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/>
                    </w:rPr>
                    <w:t>0504204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5FC4F4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лицо, передающее МЦ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B798DA9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3C81D0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момент совершения операции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94CADF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107616FA" w14:textId="77777777" w:rsidTr="008E4441">
              <w:tc>
                <w:tcPr>
                  <w:tcW w:w="2174" w:type="dxa"/>
                  <w:shd w:val="clear" w:color="auto" w:fill="auto"/>
                </w:tcPr>
                <w:p w14:paraId="4BA7DAC8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Акт выполненных работ (услуг), товарные накладные 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01810DDE" w14:textId="77777777" w:rsidR="008E4441" w:rsidRPr="00F47E2E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4EFD9DA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 или МОЛ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2958BE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E25BEE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мере поступления, но не позднее 25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-го числа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отчетного 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91908DF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6497E3BE" w14:textId="77777777" w:rsidTr="008E4441">
              <w:tc>
                <w:tcPr>
                  <w:tcW w:w="2174" w:type="dxa"/>
                  <w:shd w:val="clear" w:color="auto" w:fill="auto"/>
                </w:tcPr>
                <w:p w14:paraId="1D5C1EA2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Инвентаризационная опись (сличительная ведомость) по объектам нефинансовых активов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720FEDF6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0504087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828F0A6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Председатель, члены комиссии по инвентаризации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5A4FAEE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53B422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Следующий рабочий день после утверждения акта, но не позднее срока, установленного приказом о проведении инвентаризации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D655C6E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7D6E5462" w14:textId="77777777" w:rsidTr="008E4441">
              <w:tc>
                <w:tcPr>
                  <w:tcW w:w="2174" w:type="dxa"/>
                  <w:shd w:val="clear" w:color="auto" w:fill="auto"/>
                </w:tcPr>
                <w:p w14:paraId="3208CC90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Инвентаризационная опись расчетов с покупателями, поставщиками и прочими дебиторами и кредиторами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69C704E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0504089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A8D1876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Председатель, члены комиссии по инвентаризации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1F01C3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3775068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Следующий рабочий день после утверждения акта, но не позднее срока, установленного приказом о проведении инвентаризации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3548B3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6A50DB00" w14:textId="77777777" w:rsidTr="008E4441">
              <w:tc>
                <w:tcPr>
                  <w:tcW w:w="2174" w:type="dxa"/>
                  <w:shd w:val="clear" w:color="auto" w:fill="auto"/>
                </w:tcPr>
                <w:p w14:paraId="0CA840C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Акт о результатах инвентаризации 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(составляется на основании инвентаризационных описей)</w:t>
                  </w:r>
                </w:p>
                <w:p w14:paraId="2DC98123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 выявлении расхождений к Акту прилагается </w:t>
                  </w: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Ведомость расхождений по результатам инвентаризации ф. 0504092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66BDEB4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0504835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34B61B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Председатель, члены комиссии по инвентаризации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DF006B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C3E6989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Следующий рабочий день после утверждения акта, но не позднее срока, установленного приказом о проведении инвентаризации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163521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33419D" w14:paraId="1110CC42" w14:textId="77777777" w:rsidTr="008E4441">
              <w:tc>
                <w:tcPr>
                  <w:tcW w:w="2174" w:type="dxa"/>
                  <w:shd w:val="clear" w:color="auto" w:fill="auto"/>
                </w:tcPr>
                <w:p w14:paraId="3AEE7401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Табель учета посещаемости детей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8E51E81" w14:textId="77777777" w:rsidR="008E4441" w:rsidRPr="0033419D" w:rsidRDefault="008E4441" w:rsidP="008E4441">
                  <w:pPr>
                    <w:pStyle w:val="a7"/>
                    <w:jc w:val="center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38D03A64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275CEE03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323C135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DB7D91B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33419D" w14:paraId="3075F46A" w14:textId="77777777" w:rsidTr="008E4441">
              <w:tc>
                <w:tcPr>
                  <w:tcW w:w="2174" w:type="dxa"/>
                  <w:shd w:val="clear" w:color="auto" w:fill="auto"/>
                </w:tcPr>
                <w:p w14:paraId="4C78C5BC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График отпусков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0469B42" w14:textId="77777777" w:rsidR="008E4441" w:rsidRPr="0033419D" w:rsidRDefault="008E4441" w:rsidP="008E4441">
                  <w:pPr>
                    <w:pStyle w:val="a7"/>
                    <w:jc w:val="center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</w:pPr>
                  <w:r w:rsidRPr="0033419D">
                    <w:rPr>
                      <w:rStyle w:val="a6"/>
                      <w:rFonts w:ascii="Times New Roman" w:hAnsi="Times New Roman" w:cs="Times New Roman"/>
                    </w:rPr>
                    <w:t xml:space="preserve">0301020 (ф. </w:t>
                  </w:r>
                  <w:r w:rsidRPr="0033419D">
                    <w:rPr>
                      <w:rStyle w:val="a6"/>
                      <w:rFonts w:ascii="Times New Roman" w:hAnsi="Times New Roman" w:cs="Times New Roman"/>
                      <w:lang w:val="en-US"/>
                    </w:rPr>
                    <w:t>T-7)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3FBF0446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E13CE58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8DFC26F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Обязательно до 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января</w:t>
                  </w:r>
                  <w:r w:rsidRPr="00334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каждого года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B330C91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77E914ED" w14:textId="77777777" w:rsidTr="008E4441">
              <w:tc>
                <w:tcPr>
                  <w:tcW w:w="2174" w:type="dxa"/>
                  <w:shd w:val="clear" w:color="auto" w:fill="auto"/>
                </w:tcPr>
                <w:p w14:paraId="382E42E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Табель учета использования рабочего времени</w:t>
                  </w:r>
                  <w:r w:rsidRPr="00F47E2E">
                    <w:rPr>
                      <w:rStyle w:val="a6"/>
                      <w:rFonts w:ascii="Times New Roman" w:hAnsi="Times New Roman" w:cs="Times New Roman"/>
                      <w:sz w:val="20"/>
                      <w:szCs w:val="20"/>
                    </w:rPr>
                    <w:t xml:space="preserve"> и расчета заработной платы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1C95AD4" w14:textId="77777777" w:rsidR="008E4441" w:rsidRPr="00F47E2E" w:rsidRDefault="008E4441" w:rsidP="008E4441">
                  <w:pPr>
                    <w:jc w:val="center"/>
                  </w:pPr>
                  <w:r w:rsidRPr="00F47E2E">
                    <w:t>0301007</w:t>
                  </w:r>
                </w:p>
                <w:p w14:paraId="04AE58BA" w14:textId="77777777" w:rsidR="008E4441" w:rsidRPr="00F47E2E" w:rsidRDefault="008E4441" w:rsidP="008E4441">
                  <w:pPr>
                    <w:jc w:val="center"/>
                  </w:pPr>
                  <w:r w:rsidRPr="00F47E2E">
                    <w:lastRenderedPageBreak/>
                    <w:t>(ф. Т-12)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F8E85A7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Руководитель, ответственный за ведение табеля учета рабочего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времени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9AA2659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8DCD2B" w14:textId="24F188E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-го 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каждого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E04C43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05406D2E" w14:textId="77777777" w:rsidTr="008E4441">
              <w:tc>
                <w:tcPr>
                  <w:tcW w:w="2174" w:type="dxa"/>
                  <w:shd w:val="clear" w:color="auto" w:fill="auto"/>
                </w:tcPr>
                <w:p w14:paraId="43D4ADDA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о приеме работника на работу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(или выписка из него)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11E5172" w14:textId="77777777" w:rsidR="008E4441" w:rsidRDefault="008E4441" w:rsidP="008E4441">
                  <w:pPr>
                    <w:pStyle w:val="a7"/>
                    <w:jc w:val="center"/>
                    <w:rPr>
                      <w:rStyle w:val="a5"/>
                      <w:rFonts w:ascii="Times New Roman" w:hAnsi="Times New Roman" w:cs="Times New Roman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</w:rPr>
                    <w:t>0301001</w:t>
                  </w:r>
                </w:p>
                <w:p w14:paraId="132766AC" w14:textId="77777777" w:rsidR="008E4441" w:rsidRPr="00B73927" w:rsidRDefault="008E4441" w:rsidP="008E4441"/>
              </w:tc>
              <w:tc>
                <w:tcPr>
                  <w:tcW w:w="1679" w:type="dxa"/>
                  <w:shd w:val="clear" w:color="auto" w:fill="auto"/>
                </w:tcPr>
                <w:p w14:paraId="699A894E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89277B6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6075D0E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позднее первого рабочего дня для вновь принимаемого на работу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389B70D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221D6AC7" w14:textId="77777777" w:rsidTr="008E4441">
              <w:tc>
                <w:tcPr>
                  <w:tcW w:w="2174" w:type="dxa"/>
                  <w:shd w:val="clear" w:color="auto" w:fill="auto"/>
                </w:tcPr>
                <w:p w14:paraId="13A93024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об установлении надбавок к должностному окладу, единовременных выплат и прочее (или выписка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него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CA891EB" w14:textId="77777777" w:rsidR="008E4441" w:rsidRPr="00B73927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49F2D117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34C4EB4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173FFB9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позднее дня установления надбавок (выплат)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A2615C0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78E14527" w14:textId="77777777" w:rsidTr="008E4441">
              <w:tc>
                <w:tcPr>
                  <w:tcW w:w="2174" w:type="dxa"/>
                  <w:shd w:val="clear" w:color="auto" w:fill="auto"/>
                </w:tcPr>
                <w:p w14:paraId="5D9609DD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об увольнении работника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(или выписка из него)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0055E9E" w14:textId="77777777" w:rsidR="008E4441" w:rsidRPr="00B73927" w:rsidRDefault="008E4441" w:rsidP="008E4441">
                  <w:pPr>
                    <w:pStyle w:val="a7"/>
                    <w:jc w:val="center"/>
                    <w:rPr>
                      <w:rStyle w:val="a5"/>
                      <w:rFonts w:ascii="Times New Roman" w:hAnsi="Times New Roman" w:cs="Times New Roman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</w:rPr>
                    <w:t>0301006</w:t>
                  </w:r>
                </w:p>
                <w:p w14:paraId="490BAC7D" w14:textId="77777777" w:rsidR="008E4441" w:rsidRPr="00B73927" w:rsidRDefault="008E4441" w:rsidP="008E4441">
                  <w:pPr>
                    <w:jc w:val="center"/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5FE51020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1A877DC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70B23C3" w14:textId="51C1EB49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чем за 5</w:t>
                  </w: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рабочих дней до увольнения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167DEF6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09A22DCF" w14:textId="77777777" w:rsidTr="008E4441">
              <w:tc>
                <w:tcPr>
                  <w:tcW w:w="2174" w:type="dxa"/>
                  <w:shd w:val="clear" w:color="auto" w:fill="auto"/>
                </w:tcPr>
                <w:p w14:paraId="7526D570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(распоряжение) о предоставлении отпуска работникам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(или выписка из него)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DD715A8" w14:textId="77777777" w:rsidR="008E4441" w:rsidRPr="00B73927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</w:rPr>
                    <w:t>0301019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F66C47E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48CF65B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D3E025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чем за 10 рабочих дней до наступления отпуска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14AB22C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3E04B042" w14:textId="77777777" w:rsidTr="008E4441">
              <w:tc>
                <w:tcPr>
                  <w:tcW w:w="2174" w:type="dxa"/>
                  <w:shd w:val="clear" w:color="auto" w:fill="auto"/>
                </w:tcPr>
                <w:p w14:paraId="2DC4204A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на выплату материальной помощи сотруднику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(или выписка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него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817724D" w14:textId="77777777" w:rsidR="008E4441" w:rsidRPr="00B73927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1688CF63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988D385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12764E4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подачи заявления от сотрудника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F5654EC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7476EE13" w14:textId="77777777" w:rsidTr="008E4441">
              <w:tc>
                <w:tcPr>
                  <w:tcW w:w="2174" w:type="dxa"/>
                  <w:shd w:val="clear" w:color="auto" w:fill="auto"/>
                </w:tcPr>
                <w:p w14:paraId="54EABB9A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Листок нетрудоспособности</w:t>
                  </w:r>
                  <w:r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(оригинал на бумажном носителе или справка с реквизитами ЭЛН)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C2BE4CD" w14:textId="77777777" w:rsidR="008E4441" w:rsidRPr="00B73927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4AF56EDA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4AA8DFE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ухгалтеру 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161938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мере поступления, но н</w:t>
                  </w: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 позднее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и 30 (</w:t>
                  </w: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числа каждого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0D27248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13704316" w14:textId="77777777" w:rsidTr="008E4441">
              <w:tc>
                <w:tcPr>
                  <w:tcW w:w="2174" w:type="dxa"/>
                  <w:shd w:val="clear" w:color="auto" w:fill="auto"/>
                </w:tcPr>
                <w:p w14:paraId="11983868" w14:textId="77777777" w:rsidR="008E4441" w:rsidRPr="00DB4DA4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(распоряжение) о направлении работника в командировку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(или выписка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него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7B897AB" w14:textId="77777777" w:rsidR="008E4441" w:rsidRPr="00DB4DA4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DB4DA4">
                    <w:rPr>
                      <w:rStyle w:val="a5"/>
                      <w:rFonts w:ascii="Times New Roman" w:hAnsi="Times New Roman" w:cs="Times New Roman"/>
                    </w:rPr>
                    <w:t>0301022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F9F4334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3BE1F1B1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601D7EF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каждого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FC5D459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06E3453A" w14:textId="77777777" w:rsidTr="008E4441">
              <w:tc>
                <w:tcPr>
                  <w:tcW w:w="2174" w:type="dxa"/>
                  <w:shd w:val="clear" w:color="auto" w:fill="auto"/>
                </w:tcPr>
                <w:p w14:paraId="54CA5412" w14:textId="77777777" w:rsidR="008E4441" w:rsidRPr="00DB4DA4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Авансовый отчет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(в том числе для возмещения расходов работника, понесенных им для нужд учреждения)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71080F67" w14:textId="77777777" w:rsidR="008E4441" w:rsidRPr="00DB4DA4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DB4DA4">
                    <w:rPr>
                      <w:rStyle w:val="a5"/>
                      <w:rFonts w:ascii="Times New Roman" w:hAnsi="Times New Roman" w:cs="Times New Roman"/>
                    </w:rPr>
                    <w:t>0504505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D43CC97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Подотчетные лица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D0CA589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93722BB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истечении 10 календарных дней (за исключением сумм, выданных в связи с командировкой – 3 рабочих дня по прибытии из командировки) 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33C2EFC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34F6B346" w14:textId="77777777" w:rsidTr="008E4441">
              <w:tc>
                <w:tcPr>
                  <w:tcW w:w="2174" w:type="dxa"/>
                  <w:shd w:val="clear" w:color="auto" w:fill="auto"/>
                </w:tcPr>
                <w:p w14:paraId="57E38714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Пакет документов, подтверждающий выплату одному из родителей (законному представителю) компенсации в части платы за присмотр и уход за детьми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EC1EF45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0104FE37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379936C8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D77658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3E3CB2F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668FFD93" w14:textId="77777777" w:rsidTr="008E4441">
              <w:tc>
                <w:tcPr>
                  <w:tcW w:w="2174" w:type="dxa"/>
                  <w:shd w:val="clear" w:color="auto" w:fill="auto"/>
                </w:tcPr>
                <w:p w14:paraId="77485F2A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Пакет документов на установление стандартного налогового вычета </w:t>
                  </w: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на НДФЛ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E77CD30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450778E3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AB57D1F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8DF43E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мере принятия сотрудника на работу, справка из ОУ о том, что ребенок обучается на дневном отделении (если ребенок </w:t>
                  </w: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является студентом в возрасте от 18 до 24 лет)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3DFAA2A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2B023E8B" w14:textId="77777777" w:rsidTr="008E4441">
              <w:tc>
                <w:tcPr>
                  <w:tcW w:w="2174" w:type="dxa"/>
                  <w:shd w:val="clear" w:color="auto" w:fill="auto"/>
                </w:tcPr>
                <w:p w14:paraId="3CFFD508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Заверенная копия</w:t>
                  </w: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коллективного договора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учреждения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3D9C6B93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34D7ADCF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133BC02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8C08273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Обязательно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C595AEF" w14:textId="77777777" w:rsidR="008E4441" w:rsidRPr="00DB4DA4" w:rsidRDefault="008E4441" w:rsidP="008E4441">
                  <w:pPr>
                    <w:pStyle w:val="a8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4C1CB243" w14:textId="77777777" w:rsidTr="008E4441">
              <w:tc>
                <w:tcPr>
                  <w:tcW w:w="2174" w:type="dxa"/>
                  <w:shd w:val="clear" w:color="auto" w:fill="auto"/>
                </w:tcPr>
                <w:p w14:paraId="10262B6C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Заверенная копия положения об оплате труда работников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35C884E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2FE5E969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2382927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8F85FF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Обязательно в течение 10 дней от даты утверждения или внесения изменений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01476C2" w14:textId="77777777" w:rsidR="008E4441" w:rsidRPr="00DB4DA4" w:rsidRDefault="008E4441" w:rsidP="008E4441">
                  <w:pPr>
                    <w:pStyle w:val="a8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7D93F0BB" w14:textId="77777777" w:rsidTr="008E4441">
              <w:tc>
                <w:tcPr>
                  <w:tcW w:w="2174" w:type="dxa"/>
                  <w:shd w:val="clear" w:color="auto" w:fill="auto"/>
                </w:tcPr>
                <w:p w14:paraId="03EFA09D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Копии договоров о материальной ответственности лиц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AF16C92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3ADEE618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42E0462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46AD907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Обязательно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214A893" w14:textId="77777777" w:rsidR="008E4441" w:rsidRPr="00DB4DA4" w:rsidRDefault="008E4441" w:rsidP="008E4441">
                  <w:pPr>
                    <w:pStyle w:val="a8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873444" w14:textId="77777777" w:rsidR="00256F8C" w:rsidRDefault="00256F8C" w:rsidP="00EA7B49">
            <w:pPr>
              <w:keepNext/>
              <w:ind w:left="-567" w:right="4053"/>
              <w:jc w:val="left"/>
            </w:pPr>
          </w:p>
        </w:tc>
        <w:tc>
          <w:tcPr>
            <w:tcW w:w="66" w:type="pct"/>
            <w:gridSpan w:val="2"/>
          </w:tcPr>
          <w:p w14:paraId="70ECD1C4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48384DD4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330EA126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5348EE31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2FE6C144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42912405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551FB73F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3CC5C726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0A75DFCA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3" w:type="pct"/>
            <w:gridSpan w:val="2"/>
          </w:tcPr>
          <w:p w14:paraId="6716F9D5" w14:textId="77777777" w:rsidR="00256F8C" w:rsidRDefault="00256F8C" w:rsidP="00EA7B49">
            <w:pPr>
              <w:keepNext/>
              <w:jc w:val="left"/>
            </w:pPr>
          </w:p>
        </w:tc>
      </w:tr>
      <w:tr w:rsidR="00256F8C" w14:paraId="6C18BD10" w14:textId="77777777" w:rsidTr="00EA7B49">
        <w:tc>
          <w:tcPr>
            <w:tcW w:w="4338" w:type="pct"/>
            <w:gridSpan w:val="6"/>
          </w:tcPr>
          <w:p w14:paraId="52888D8F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  <w:gridSpan w:val="2"/>
          </w:tcPr>
          <w:p w14:paraId="5BAB9192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5FFC7A16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73E474FB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1E68BCF8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33262C45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5A7D130E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0B50DE93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387762C1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5714462D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3" w:type="pct"/>
            <w:gridSpan w:val="2"/>
          </w:tcPr>
          <w:p w14:paraId="3FD511CD" w14:textId="77777777" w:rsidR="00256F8C" w:rsidRDefault="00256F8C" w:rsidP="00EA7B49">
            <w:pPr>
              <w:keepNext/>
              <w:jc w:val="left"/>
            </w:pPr>
          </w:p>
        </w:tc>
      </w:tr>
      <w:tr w:rsidR="00256F8C" w14:paraId="6532DF48" w14:textId="77777777" w:rsidTr="00EA7B49">
        <w:tc>
          <w:tcPr>
            <w:tcW w:w="4338" w:type="pct"/>
            <w:gridSpan w:val="6"/>
          </w:tcPr>
          <w:p w14:paraId="0C19F59E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  <w:gridSpan w:val="2"/>
          </w:tcPr>
          <w:p w14:paraId="5AF069F7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541E1214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20A871F1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7927FADF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0DD0326E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072B4B5B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22F687AD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66BFB25D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632A94AA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3" w:type="pct"/>
            <w:gridSpan w:val="2"/>
          </w:tcPr>
          <w:p w14:paraId="739639C3" w14:textId="77777777" w:rsidR="00256F8C" w:rsidRDefault="00256F8C" w:rsidP="00EA7B49">
            <w:pPr>
              <w:keepNext/>
              <w:jc w:val="left"/>
            </w:pPr>
          </w:p>
        </w:tc>
      </w:tr>
      <w:tr w:rsidR="00256F8C" w:rsidRPr="00F47E2E" w14:paraId="6771165F" w14:textId="77777777" w:rsidTr="00EA7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57" w:type="pct"/>
          <w:wAfter w:w="47" w:type="pct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CA74B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AD5CA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895CE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7B721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DE96F24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pct"/>
            <w:gridSpan w:val="10"/>
            <w:shd w:val="clear" w:color="auto" w:fill="auto"/>
            <w:vAlign w:val="center"/>
          </w:tcPr>
          <w:p w14:paraId="3F597F2F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6F8C" w:rsidRPr="00F47E2E" w14:paraId="4ABCF65E" w14:textId="77777777" w:rsidTr="00EA7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57" w:type="pct"/>
          <w:wAfter w:w="47" w:type="pct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434B7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75A80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7AA75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308B1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tcBorders>
              <w:left w:val="nil"/>
            </w:tcBorders>
            <w:shd w:val="clear" w:color="auto" w:fill="auto"/>
          </w:tcPr>
          <w:p w14:paraId="5F81655C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10"/>
            <w:shd w:val="clear" w:color="auto" w:fill="auto"/>
          </w:tcPr>
          <w:p w14:paraId="021A6C64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A90540" w14:textId="77777777" w:rsidR="003A5AD8" w:rsidRDefault="003A5AD8"/>
    <w:sectPr w:rsidR="003A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D8"/>
    <w:rsid w:val="00083B3F"/>
    <w:rsid w:val="00256F8C"/>
    <w:rsid w:val="003A5AD8"/>
    <w:rsid w:val="008E4441"/>
    <w:rsid w:val="00B1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20AFE"/>
  <w15:chartTrackingRefBased/>
  <w15:docId w15:val="{ACC22B05-BDA2-4C24-863E-C6A206A4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F8C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256F8C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256F8C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256F8C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5">
    <w:name w:val="Hyperlink"/>
    <w:unhideWhenUsed/>
    <w:rsid w:val="00256F8C"/>
    <w:rPr>
      <w:color w:val="0000FF"/>
      <w:u w:val="single"/>
    </w:rPr>
  </w:style>
  <w:style w:type="character" w:customStyle="1" w:styleId="a6">
    <w:name w:val="Гипертекстовая ссылка"/>
    <w:rsid w:val="00256F8C"/>
    <w:rPr>
      <w:b/>
      <w:bCs/>
      <w:color w:val="008000"/>
    </w:rPr>
  </w:style>
  <w:style w:type="paragraph" w:customStyle="1" w:styleId="a7">
    <w:name w:val="Нормальный (таблица)"/>
    <w:basedOn w:val="a"/>
    <w:next w:val="a"/>
    <w:rsid w:val="00256F8C"/>
    <w:pPr>
      <w:widowControl w:val="0"/>
      <w:suppressAutoHyphens/>
      <w:autoSpaceDE w:val="0"/>
      <w:spacing w:before="0" w:after="0" w:line="240" w:lineRule="auto"/>
      <w:ind w:firstLine="0"/>
    </w:pPr>
    <w:rPr>
      <w:rFonts w:ascii="Arial" w:hAnsi="Arial" w:cs="Arial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256F8C"/>
    <w:pPr>
      <w:widowControl w:val="0"/>
      <w:suppressAutoHyphens/>
      <w:autoSpaceDE w:val="0"/>
      <w:spacing w:before="0" w:after="0" w:line="240" w:lineRule="auto"/>
      <w:ind w:firstLine="0"/>
      <w:jc w:val="left"/>
    </w:pPr>
    <w:rPr>
      <w:rFonts w:ascii="Arial" w:hAnsi="Arial" w:cs="Arial"/>
      <w:sz w:val="24"/>
      <w:szCs w:val="24"/>
      <w:lang w:eastAsia="ar-SA"/>
    </w:rPr>
  </w:style>
  <w:style w:type="paragraph" w:styleId="a9">
    <w:name w:val="Body Text Indent"/>
    <w:basedOn w:val="a"/>
    <w:link w:val="aa"/>
    <w:rsid w:val="00256F8C"/>
    <w:pPr>
      <w:widowControl w:val="0"/>
      <w:suppressAutoHyphens/>
      <w:autoSpaceDE w:val="0"/>
      <w:spacing w:before="0" w:line="240" w:lineRule="auto"/>
      <w:ind w:left="283" w:firstLine="0"/>
      <w:jc w:val="left"/>
    </w:pPr>
    <w:rPr>
      <w:rFonts w:ascii="Arial" w:hAnsi="Arial" w:cs="Arial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56F8C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Гутмиллер Елена</dc:creator>
  <cp:keywords/>
  <dc:description/>
  <cp:lastModifiedBy>Гутмиллер Елена</cp:lastModifiedBy>
  <cp:revision>7</cp:revision>
  <cp:lastPrinted>2021-06-23T12:06:00Z</cp:lastPrinted>
  <dcterms:created xsi:type="dcterms:W3CDTF">2021-04-09T11:39:00Z</dcterms:created>
  <dcterms:modified xsi:type="dcterms:W3CDTF">2021-06-24T04:10:00Z</dcterms:modified>
</cp:coreProperties>
</file>