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E" w:rsidRPr="004A6FA4" w:rsidRDefault="00B637BD" w:rsidP="00B637BD">
      <w:pPr>
        <w:pStyle w:val="1"/>
        <w:spacing w:before="4980" w:line="240" w:lineRule="auto"/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415162" cy="7443362"/>
            <wp:effectExtent l="0" t="0" r="0" b="5715"/>
            <wp:docPr id="1" name="Рисунок 1" descr="C:\Users\user\Desktop\Агуреева Л.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гуреева Л.А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15" cy="74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0E" w:rsidRPr="000D2CAA" w:rsidRDefault="00347A0E" w:rsidP="00347A0E">
      <w:pPr>
        <w:textAlignment w:val="baseline"/>
        <w:rPr>
          <w:color w:val="FF0000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347A0E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1B679A">
              <w:rPr>
                <w:sz w:val="24"/>
                <w:szCs w:val="24"/>
              </w:rPr>
              <w:t>Научные прорывы моей страны</w:t>
            </w:r>
          </w:p>
          <w:p w:rsidR="00347A0E" w:rsidRPr="001B679A" w:rsidRDefault="00347A0E" w:rsidP="00347A0E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1B679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347A0E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      </w:r>
            <w:r>
              <w:rPr>
                <w:spacing w:val="2"/>
                <w:shd w:val="clear" w:color="auto" w:fill="FFFFFF"/>
              </w:rPr>
              <w:t>с природной и социальной средой;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9" w:history="1">
              <w:r w:rsidRPr="000D2CAA">
                <w:rPr>
                  <w:rStyle w:val="a4"/>
                  <w:i/>
                  <w:iCs/>
                </w:rPr>
                <w:t>https://kosmo-museum.ru/static_pages/istoriya-muzeya</w:t>
              </w:r>
            </w:hyperlink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347A0E" w:rsidRPr="000D2CAA" w:rsidRDefault="00347A0E" w:rsidP="00347A0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Мы – Россия. Возможности </w:t>
            </w:r>
            <w:r>
              <w:rPr>
                <w:sz w:val="24"/>
                <w:szCs w:val="24"/>
              </w:rPr>
              <w:t>–</w:t>
            </w:r>
            <w:r w:rsidRPr="000D2CAA">
              <w:rPr>
                <w:sz w:val="24"/>
                <w:szCs w:val="24"/>
              </w:rPr>
              <w:t xml:space="preserve"> будущее</w:t>
            </w:r>
          </w:p>
          <w:p w:rsidR="00347A0E" w:rsidRPr="00463587" w:rsidRDefault="00347A0E" w:rsidP="00347A0E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63587">
              <w:rPr>
                <w:sz w:val="24"/>
                <w:szCs w:val="24"/>
              </w:rPr>
              <w:t>Полет мечты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Дай каждому дню стать самым лучшим в твоей жизни (Пифагор)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универсальные познавательные учебные действия (базовые </w:t>
            </w:r>
            <w:r w:rsidRPr="0097603A">
              <w:lastRenderedPageBreak/>
              <w:t>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формирование сопричастности к прошлому, настоящему и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будущему народа России,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>ловека и общества, сфер общественной жизни, гражданина и государств</w:t>
            </w:r>
            <w:r>
              <w:rPr>
                <w:iCs/>
              </w:rPr>
              <w:t>а;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</w:t>
            </w:r>
            <w:r w:rsidRPr="0097603A">
              <w:rPr>
                <w:b/>
                <w:bCs/>
              </w:rPr>
              <w:t>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10" w:history="1">
              <w:r w:rsidRPr="004A6FA4">
                <w:rPr>
                  <w:rStyle w:val="a4"/>
                  <w:i/>
                  <w:iCs/>
                </w:rPr>
                <w:t>https://www.rsl.ru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347A0E" w:rsidRPr="00B16E9E" w:rsidRDefault="00347A0E" w:rsidP="00347A0E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B16E9E">
              <w:rPr>
                <w:sz w:val="24"/>
                <w:szCs w:val="24"/>
              </w:rPr>
              <w:t>Искусство – одно из средств различения доброго от злого (Л.Н. Толстой)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понимания ценности отечественного и мирового искусства, народных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значение нравственных норм, ценностей,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11" w:history="1">
              <w:r w:rsidRPr="004A6FA4">
                <w:rPr>
                  <w:rStyle w:val="a4"/>
                  <w:i/>
                  <w:iCs/>
                </w:rPr>
                <w:t>http://www.mxat-teatr.ru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:rsidR="00347A0E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534271">
              <w:rPr>
                <w:sz w:val="24"/>
                <w:szCs w:val="24"/>
              </w:rPr>
              <w:t>Отчество – от слова «отец»</w:t>
            </w:r>
          </w:p>
          <w:p w:rsidR="00347A0E" w:rsidRPr="00534271" w:rsidRDefault="00347A0E" w:rsidP="00347A0E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534271">
              <w:rPr>
                <w:sz w:val="24"/>
                <w:szCs w:val="24"/>
              </w:rPr>
              <w:t>Позвони маме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готовности оценивать своё поведение и поступки, поведение и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ценностей и норм с учётом </w:t>
            </w:r>
            <w:r>
              <w:rPr>
                <w:spacing w:val="2"/>
                <w:shd w:val="clear" w:color="auto" w:fill="FFFFFF"/>
              </w:rPr>
              <w:t>осознания последствий поступков;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2" w:history="1">
              <w:r w:rsidRPr="000D2CAA">
                <w:rPr>
                  <w:rStyle w:val="a4"/>
                  <w:i/>
                  <w:iCs/>
                </w:rPr>
                <w:t>https://damuseum.ru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lastRenderedPageBreak/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Языки и культура народов России: единство в многообразии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 xml:space="preserve">Люди писали дневники и верили, что им удастся прожить еще один день (Д. Лихачев) 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Гимн России</w:t>
            </w:r>
          </w:p>
          <w:p w:rsidR="00347A0E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:rsidR="00347A0E" w:rsidRPr="007C648B" w:rsidRDefault="00347A0E" w:rsidP="00347A0E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7C648B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347A0E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97603A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347A0E" w:rsidRPr="0097603A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проживающих в родной стране;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знания</w:t>
            </w:r>
            <w:r w:rsidRPr="004A6FA4">
              <w:t xml:space="preserve">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России..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3" w:history="1">
              <w:r w:rsidRPr="004A6FA4">
                <w:rPr>
                  <w:rStyle w:val="a4"/>
                  <w:i/>
                  <w:iCs/>
                </w:rPr>
                <w:t>https://victorymuseum.ru</w:t>
              </w:r>
            </w:hyperlink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347A0E" w:rsidRPr="0097603A" w:rsidRDefault="00347A0E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347A0E" w:rsidRPr="0097603A" w:rsidRDefault="00347A0E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:rsidR="00347A0E" w:rsidRPr="0097603A" w:rsidRDefault="00347A0E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97603A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347A0E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347A0E" w:rsidRPr="000D2CAA" w:rsidRDefault="00347A0E" w:rsidP="00347A0E">
      <w:pPr>
        <w:rPr>
          <w:color w:val="FF0000"/>
        </w:rPr>
      </w:pPr>
    </w:p>
    <w:tbl>
      <w:tblPr>
        <w:tblW w:w="50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2985"/>
        <w:gridCol w:w="3263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0D2CAA">
              <w:rPr>
                <w:sz w:val="24"/>
                <w:szCs w:val="24"/>
              </w:rPr>
              <w:t>Россия начинается с меня?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</w:t>
            </w:r>
            <w:r w:rsidRPr="00030F2D">
              <w:rPr>
                <w:b/>
                <w:bCs/>
              </w:rPr>
              <w:t>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030F2D">
              <w:rPr>
                <w:b/>
                <w:bCs/>
              </w:rPr>
              <w:t>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14" w:history="1">
              <w:r w:rsidRPr="00030F2D">
                <w:rPr>
                  <w:rStyle w:val="a4"/>
                  <w:i/>
                  <w:iCs/>
                </w:rPr>
                <w:t>https://mosvolonter.ru</w:t>
              </w:r>
            </w:hyperlink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30F2D">
              <w:t>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</w:t>
            </w:r>
            <w:r>
              <w:t>твенность истории нашей Родины);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 xml:space="preserve"> умение характеризовать </w:t>
            </w:r>
            <w:r w:rsidRPr="004A6FA4">
              <w:lastRenderedPageBreak/>
              <w:t>традиционные российские духовно-нравственные ценности (в том числе защита человеческой жизни, прав и</w:t>
            </w:r>
            <w:r>
              <w:t xml:space="preserve"> </w:t>
            </w:r>
            <w:r w:rsidRPr="004A6FA4">
              <w:t>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030F2D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5" w:history="1">
              <w:r w:rsidRPr="00030F2D">
                <w:rPr>
                  <w:rStyle w:val="a4"/>
                  <w:i/>
                  <w:iCs/>
                </w:rPr>
                <w:t>http://new.xxc.ru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7A0E" w:rsidRPr="000D2CAA" w:rsidRDefault="00347A0E" w:rsidP="00347A0E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Правила продвинутого пользователя интернета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r w:rsidRPr="004A6FA4">
              <w:t>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</w:t>
            </w:r>
            <w:r>
              <w:t>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Эвристическая беседа, дискуссия, тематическое задание </w:t>
            </w:r>
            <w:r w:rsidRPr="00030F2D">
              <w:rPr>
                <w:i/>
                <w:iCs/>
              </w:rPr>
              <w:lastRenderedPageBreak/>
              <w:t>по подгруппам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lastRenderedPageBreak/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Мы – жители большой страны</w:t>
            </w:r>
          </w:p>
          <w:p w:rsidR="00347A0E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  <w:p w:rsidR="00347A0E" w:rsidRPr="00277990" w:rsidRDefault="00347A0E" w:rsidP="00347A0E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77990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>знание ключевых событий, основных дат</w:t>
            </w:r>
            <w:r w:rsidRPr="00030F2D">
              <w:t xml:space="preserve">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  <w:r w:rsidRPr="000D2CAA">
              <w:rPr>
                <w:spacing w:val="2"/>
                <w:shd w:val="clear" w:color="auto" w:fill="FFFFFF"/>
              </w:rPr>
              <w:t>.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6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tabs>
                <w:tab w:val="left" w:pos="4940"/>
              </w:tabs>
              <w:spacing w:after="120"/>
              <w:jc w:val="both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Мужских и женских профессий больше нет?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все можем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</w:t>
            </w:r>
            <w:r>
              <w:rPr>
                <w:spacing w:val="2"/>
                <w:shd w:val="clear" w:color="auto" w:fill="FFFFFF"/>
              </w:rPr>
              <w:t xml:space="preserve"> многоконфессиональном обществе;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формирование</w:t>
            </w:r>
            <w:r w:rsidRPr="004A6FA4">
              <w:t xml:space="preserve"> уважительного отношения к своей семье и семейным традициям, родному города, России,</w:t>
            </w:r>
            <w:r>
              <w:t xml:space="preserve"> ее истории и культуре, природе</w:t>
            </w:r>
            <w:r w:rsidRPr="004A6FA4">
              <w:t>.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17" w:history="1">
              <w:r w:rsidRPr="004A6FA4">
                <w:rPr>
                  <w:rStyle w:val="a4"/>
                  <w:i/>
                  <w:iCs/>
                </w:rPr>
                <w:t>https://www.park-gorkogo.com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ГДМ </w:t>
            </w:r>
            <w:hyperlink r:id="rId18" w:history="1">
              <w:r w:rsidRPr="000D2CAA">
                <w:rPr>
                  <w:rStyle w:val="a4"/>
                  <w:i/>
                  <w:iCs/>
                </w:rPr>
                <w:t>http://www.darwinmuseum.ru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347A0E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030F2D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347A0E" w:rsidRPr="00030F2D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</w:t>
            </w:r>
            <w:r>
              <w:rPr>
                <w:spacing w:val="2"/>
                <w:shd w:val="clear" w:color="auto" w:fill="FFFFFF"/>
              </w:rPr>
              <w:t>гулярная физическая активность);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формирование привычки к здоровому образу жизни </w:t>
            </w:r>
            <w:r>
              <w:t>и занятиям физической культурой.</w:t>
            </w:r>
          </w:p>
          <w:p w:rsidR="00347A0E" w:rsidRPr="000D2CAA" w:rsidRDefault="00347A0E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9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347A0E" w:rsidRPr="00030F2D" w:rsidRDefault="00347A0E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347A0E" w:rsidRPr="00030F2D" w:rsidRDefault="00347A0E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:rsidR="00347A0E" w:rsidRPr="00030F2D" w:rsidRDefault="00347A0E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30F2D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347A0E" w:rsidRPr="000D2CAA" w:rsidRDefault="00347A0E" w:rsidP="00347A0E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986"/>
        <w:gridCol w:w="3263"/>
      </w:tblGrid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347A0E" w:rsidRPr="000D2CAA" w:rsidRDefault="00347A0E" w:rsidP="00347A0E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Сохраним планету для будущих поколений</w:t>
            </w:r>
          </w:p>
        </w:tc>
      </w:tr>
      <w:tr w:rsidR="00347A0E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347A0E" w:rsidRPr="004A6FA4" w:rsidRDefault="00347A0E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347A0E" w:rsidRPr="004A6FA4" w:rsidRDefault="00347A0E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347A0E" w:rsidRPr="000D2CAA" w:rsidRDefault="00347A0E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готовность к участию в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практической деятельности экологической направленности.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20" w:history="1">
              <w:r w:rsidRPr="000D2CAA">
                <w:rPr>
                  <w:rStyle w:val="a4"/>
                  <w:i/>
                  <w:iCs/>
                </w:rPr>
                <w:t>https://mducekt.mskobr.ru</w:t>
              </w:r>
            </w:hyperlink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347A0E" w:rsidRPr="004A6FA4" w:rsidRDefault="00347A0E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347A0E" w:rsidRPr="004A6FA4" w:rsidRDefault="00347A0E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:rsidR="00347A0E" w:rsidRPr="004A6FA4" w:rsidRDefault="00347A0E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347A0E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A0E" w:rsidRPr="004A6FA4" w:rsidRDefault="00347A0E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347A0E" w:rsidRPr="000D2CAA" w:rsidRDefault="00347A0E" w:rsidP="00347A0E">
      <w:pPr>
        <w:pStyle w:val="a3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</w:pPr>
    </w:p>
    <w:p w:rsidR="00B1283D" w:rsidRDefault="00B1283D"/>
    <w:sectPr w:rsidR="00B1283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19" w:rsidRDefault="00EA4E19" w:rsidP="005F20DE">
      <w:r>
        <w:separator/>
      </w:r>
    </w:p>
  </w:endnote>
  <w:endnote w:type="continuationSeparator" w:id="0">
    <w:p w:rsidR="00EA4E19" w:rsidRDefault="00EA4E19" w:rsidP="005F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84551"/>
      <w:docPartObj>
        <w:docPartGallery w:val="Page Numbers (Bottom of Page)"/>
        <w:docPartUnique/>
      </w:docPartObj>
    </w:sdtPr>
    <w:sdtEndPr/>
    <w:sdtContent>
      <w:p w:rsidR="005F20DE" w:rsidRDefault="005F20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BD">
          <w:rPr>
            <w:noProof/>
          </w:rPr>
          <w:t>11</w:t>
        </w:r>
        <w:r>
          <w:fldChar w:fldCharType="end"/>
        </w:r>
      </w:p>
    </w:sdtContent>
  </w:sdt>
  <w:p w:rsidR="005F20DE" w:rsidRDefault="005F20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19" w:rsidRDefault="00EA4E19" w:rsidP="005F20DE">
      <w:r>
        <w:separator/>
      </w:r>
    </w:p>
  </w:footnote>
  <w:footnote w:type="continuationSeparator" w:id="0">
    <w:p w:rsidR="00EA4E19" w:rsidRDefault="00EA4E19" w:rsidP="005F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C2"/>
    <w:multiLevelType w:val="hybridMultilevel"/>
    <w:tmpl w:val="2ACC58AC"/>
    <w:lvl w:ilvl="0" w:tplc="14EE3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06A"/>
    <w:multiLevelType w:val="hybridMultilevel"/>
    <w:tmpl w:val="E2B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5BF0"/>
    <w:multiLevelType w:val="hybridMultilevel"/>
    <w:tmpl w:val="3F62E64C"/>
    <w:lvl w:ilvl="0" w:tplc="CB48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57C64"/>
    <w:multiLevelType w:val="hybridMultilevel"/>
    <w:tmpl w:val="7D56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2D16"/>
    <w:multiLevelType w:val="hybridMultilevel"/>
    <w:tmpl w:val="4D82088E"/>
    <w:lvl w:ilvl="0" w:tplc="D7A8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02E3B"/>
    <w:multiLevelType w:val="hybridMultilevel"/>
    <w:tmpl w:val="D88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6AFE"/>
    <w:multiLevelType w:val="hybridMultilevel"/>
    <w:tmpl w:val="89D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5599B"/>
    <w:multiLevelType w:val="hybridMultilevel"/>
    <w:tmpl w:val="51B4B77C"/>
    <w:lvl w:ilvl="0" w:tplc="31D8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F04BC"/>
    <w:multiLevelType w:val="hybridMultilevel"/>
    <w:tmpl w:val="DE7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71B5"/>
    <w:multiLevelType w:val="hybridMultilevel"/>
    <w:tmpl w:val="701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63F0"/>
    <w:multiLevelType w:val="hybridMultilevel"/>
    <w:tmpl w:val="988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C6072"/>
    <w:multiLevelType w:val="hybridMultilevel"/>
    <w:tmpl w:val="EB6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04BC1"/>
    <w:multiLevelType w:val="hybridMultilevel"/>
    <w:tmpl w:val="7166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F"/>
    <w:rsid w:val="00233F80"/>
    <w:rsid w:val="002768FF"/>
    <w:rsid w:val="00347A0E"/>
    <w:rsid w:val="005F20DE"/>
    <w:rsid w:val="00B1283D"/>
    <w:rsid w:val="00B637BD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0E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unhideWhenUsed/>
    <w:rsid w:val="00347A0E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347A0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47A0E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0E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unhideWhenUsed/>
    <w:rsid w:val="00347A0E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347A0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47A0E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ctorymuseum.ru" TargetMode="External"/><Relationship Id="rId18" Type="http://schemas.openxmlformats.org/officeDocument/2006/relationships/hyperlink" Target="http://www.darwinmuseum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amuseum.ru" TargetMode="External"/><Relationship Id="rId17" Type="http://schemas.openxmlformats.org/officeDocument/2006/relationships/hyperlink" Target="https://www.park-gork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riotsport.moscow" TargetMode="External"/><Relationship Id="rId20" Type="http://schemas.openxmlformats.org/officeDocument/2006/relationships/hyperlink" Target="https://mducekt.mskob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xat-tea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xx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sl.ru" TargetMode="External"/><Relationship Id="rId19" Type="http://schemas.openxmlformats.org/officeDocument/2006/relationships/hyperlink" Target="https://patriotsport.mos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mo-museum.ru/static_pages/istoriya-muzeya" TargetMode="External"/><Relationship Id="rId14" Type="http://schemas.openxmlformats.org/officeDocument/2006/relationships/hyperlink" Target="https://mosvolont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2022-08-29T11:48:00Z</dcterms:created>
  <dcterms:modified xsi:type="dcterms:W3CDTF">2023-10-24T05:09:00Z</dcterms:modified>
</cp:coreProperties>
</file>